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61D4" w14:textId="2C888E37" w:rsidR="00677A69" w:rsidRPr="00677A69" w:rsidRDefault="00677A69" w:rsidP="00677A69">
      <w:pPr>
        <w:jc w:val="both"/>
        <w:rPr>
          <w:rFonts w:ascii="Times New Roman" w:eastAsia="Times New Roman" w:hAnsi="Times New Roman" w:cs="Times New Roman"/>
          <w:lang w:eastAsia="en-GB"/>
        </w:rPr>
      </w:pPr>
      <w:r w:rsidRPr="00677A69">
        <w:rPr>
          <w:rFonts w:ascii="Calibri" w:eastAsia="Times New Roman" w:hAnsi="Calibri" w:cs="Calibri"/>
          <w:b/>
          <w:bCs/>
          <w:color w:val="0070C0"/>
          <w:sz w:val="32"/>
          <w:szCs w:val="32"/>
          <w:lang w:eastAsia="en-GB"/>
        </w:rPr>
        <w:t xml:space="preserve">Annexe 1 : à </w:t>
      </w:r>
      <w:r>
        <w:rPr>
          <w:rFonts w:ascii="Calibri" w:eastAsia="Times New Roman" w:hAnsi="Calibri" w:cs="Calibri"/>
          <w:b/>
          <w:bCs/>
          <w:color w:val="0070C0"/>
          <w:sz w:val="32"/>
          <w:szCs w:val="32"/>
          <w:lang w:val="fr-FR" w:eastAsia="en-GB"/>
        </w:rPr>
        <w:t>p</w:t>
      </w:r>
      <w:r w:rsidRPr="00677A69">
        <w:rPr>
          <w:rFonts w:ascii="Calibri" w:eastAsia="Times New Roman" w:hAnsi="Calibri" w:cs="Calibri"/>
          <w:b/>
          <w:bCs/>
          <w:color w:val="0070C0"/>
          <w:sz w:val="32"/>
          <w:szCs w:val="32"/>
          <w:lang w:eastAsia="en-GB"/>
        </w:rPr>
        <w:t>ropos de Triple Living</w:t>
      </w:r>
    </w:p>
    <w:tbl>
      <w:tblPr>
        <w:tblpPr w:leftFromText="180" w:rightFromText="180" w:vertAnchor="page" w:horzAnchor="margin" w:tblpXSpec="right" w:tblpY="2254"/>
        <w:tblW w:w="0" w:type="auto"/>
        <w:tblCellMar>
          <w:top w:w="15" w:type="dxa"/>
          <w:left w:w="15" w:type="dxa"/>
          <w:bottom w:w="15" w:type="dxa"/>
          <w:right w:w="15" w:type="dxa"/>
        </w:tblCellMar>
        <w:tblLook w:val="04A0" w:firstRow="1" w:lastRow="0" w:firstColumn="1" w:lastColumn="0" w:noHBand="0" w:noVBand="1"/>
      </w:tblPr>
      <w:tblGrid>
        <w:gridCol w:w="4054"/>
      </w:tblGrid>
      <w:tr w:rsidR="00677A69" w:rsidRPr="00677A69" w14:paraId="3A14ECD8" w14:textId="77777777" w:rsidTr="00677A6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F2E3D" w14:textId="5F194B5A" w:rsidR="00677A69" w:rsidRDefault="00677A69" w:rsidP="00677A69">
            <w:pPr>
              <w:rPr>
                <w:rFonts w:ascii="Calibri" w:eastAsia="Times New Roman" w:hAnsi="Calibri" w:cs="Calibri"/>
                <w:color w:val="000000"/>
                <w:sz w:val="22"/>
                <w:szCs w:val="22"/>
                <w:shd w:val="clear" w:color="auto" w:fill="FFFFFF"/>
                <w:lang w:eastAsia="en-GB"/>
              </w:rPr>
            </w:pPr>
            <w:r w:rsidRPr="00677A69">
              <w:rPr>
                <w:rFonts w:ascii="Calibri" w:eastAsia="Times New Roman" w:hAnsi="Calibri" w:cs="Calibri"/>
                <w:b/>
                <w:bCs/>
                <w:color w:val="000000"/>
                <w:sz w:val="22"/>
                <w:szCs w:val="22"/>
                <w:lang w:eastAsia="en-GB"/>
              </w:rPr>
              <w:t>Triple</w:t>
            </w:r>
            <w:r>
              <w:rPr>
                <w:rFonts w:ascii="Calibri" w:eastAsia="Times New Roman" w:hAnsi="Calibri" w:cs="Calibri"/>
                <w:b/>
                <w:bCs/>
                <w:color w:val="000000"/>
                <w:sz w:val="22"/>
                <w:szCs w:val="22"/>
                <w:lang w:eastAsia="en-GB"/>
              </w:rPr>
              <w:t xml:space="preserve"> </w:t>
            </w:r>
            <w:r w:rsidRPr="00677A69">
              <w:rPr>
                <w:rFonts w:ascii="Calibri" w:eastAsia="Times New Roman" w:hAnsi="Calibri" w:cs="Calibri"/>
                <w:b/>
                <w:bCs/>
                <w:color w:val="000000"/>
                <w:sz w:val="22"/>
                <w:szCs w:val="22"/>
                <w:lang w:eastAsia="en-GB"/>
              </w:rPr>
              <w:t>Living</w:t>
            </w:r>
            <w:r w:rsidRPr="00677A69">
              <w:rPr>
                <w:rFonts w:ascii="Calibri" w:eastAsia="Times New Roman" w:hAnsi="Calibri" w:cs="Calibri"/>
                <w:color w:val="000000"/>
                <w:sz w:val="22"/>
                <w:szCs w:val="22"/>
                <w:lang w:eastAsia="en-GB"/>
              </w:rPr>
              <w:br/>
            </w:r>
            <w:r w:rsidRPr="00677A69">
              <w:rPr>
                <w:rFonts w:ascii="Calibri" w:eastAsia="Times New Roman" w:hAnsi="Calibri" w:cs="Calibri"/>
                <w:color w:val="000000"/>
                <w:sz w:val="22"/>
                <w:szCs w:val="22"/>
                <w:shd w:val="clear" w:color="auto" w:fill="FFFFFF"/>
                <w:lang w:eastAsia="en-GB"/>
              </w:rPr>
              <w:t>Rue Michel de Braey 55, 2000 Anvers</w:t>
            </w:r>
          </w:p>
          <w:p w14:paraId="63AEF70D" w14:textId="65D55AF4" w:rsidR="00677A69" w:rsidRPr="00677A69" w:rsidRDefault="00677A69" w:rsidP="00677A69">
            <w:pPr>
              <w:rPr>
                <w:rFonts w:ascii="Times New Roman" w:eastAsia="Times New Roman" w:hAnsi="Times New Roman" w:cs="Times New Roman"/>
                <w:lang w:eastAsia="en-GB"/>
              </w:rPr>
            </w:pPr>
            <w:r w:rsidRPr="00677A69">
              <w:rPr>
                <w:rFonts w:ascii="Calibri" w:eastAsia="Times New Roman" w:hAnsi="Calibri" w:cs="Calibri"/>
                <w:color w:val="000000"/>
                <w:sz w:val="22"/>
                <w:szCs w:val="22"/>
                <w:shd w:val="clear" w:color="auto" w:fill="FFFFFF"/>
                <w:lang w:eastAsia="en-GB"/>
              </w:rPr>
              <w:t>Michel de Braeystraat 55, 2000 Antwerpen</w:t>
            </w:r>
          </w:p>
          <w:p w14:paraId="4A48A36F" w14:textId="77777777" w:rsidR="00677A69" w:rsidRPr="00677A69" w:rsidRDefault="00677A69" w:rsidP="00677A69">
            <w:pPr>
              <w:jc w:val="both"/>
              <w:rPr>
                <w:rFonts w:ascii="Times New Roman" w:eastAsia="Times New Roman" w:hAnsi="Times New Roman" w:cs="Times New Roman"/>
                <w:lang w:eastAsia="en-GB"/>
              </w:rPr>
            </w:pPr>
            <w:r w:rsidRPr="00677A69">
              <w:rPr>
                <w:rFonts w:ascii="Calibri" w:eastAsia="Times New Roman" w:hAnsi="Calibri" w:cs="Calibri"/>
                <w:color w:val="000000"/>
                <w:sz w:val="22"/>
                <w:szCs w:val="22"/>
                <w:lang w:eastAsia="en-GB"/>
              </w:rPr>
              <w:t>www.triple-living.be</w:t>
            </w:r>
          </w:p>
          <w:p w14:paraId="5FB2C0E0" w14:textId="77777777" w:rsidR="00677A69" w:rsidRPr="00677A69" w:rsidRDefault="00677A69" w:rsidP="00677A69">
            <w:pPr>
              <w:jc w:val="both"/>
              <w:rPr>
                <w:rFonts w:ascii="Times New Roman" w:eastAsia="Times New Roman" w:hAnsi="Times New Roman" w:cs="Times New Roman"/>
                <w:lang w:eastAsia="en-GB"/>
              </w:rPr>
            </w:pPr>
            <w:r w:rsidRPr="00677A69">
              <w:rPr>
                <w:rFonts w:ascii="Calibri" w:eastAsia="Times New Roman" w:hAnsi="Calibri" w:cs="Calibri"/>
                <w:color w:val="000000"/>
                <w:sz w:val="22"/>
                <w:szCs w:val="22"/>
                <w:lang w:eastAsia="en-GB"/>
              </w:rPr>
              <w:t>info@triple-living.be</w:t>
            </w:r>
          </w:p>
          <w:p w14:paraId="679E2C43" w14:textId="77777777" w:rsidR="00677A69" w:rsidRPr="00677A69" w:rsidRDefault="00677A69" w:rsidP="00677A69">
            <w:pPr>
              <w:jc w:val="both"/>
              <w:rPr>
                <w:rFonts w:ascii="Times New Roman" w:eastAsia="Times New Roman" w:hAnsi="Times New Roman" w:cs="Times New Roman"/>
                <w:lang w:eastAsia="en-GB"/>
              </w:rPr>
            </w:pPr>
            <w:hyperlink r:id="rId5" w:history="1">
              <w:r w:rsidRPr="00677A69">
                <w:rPr>
                  <w:rFonts w:ascii="Calibri" w:eastAsia="Times New Roman" w:hAnsi="Calibri" w:cs="Calibri"/>
                  <w:color w:val="000000"/>
                  <w:sz w:val="22"/>
                  <w:szCs w:val="22"/>
                  <w:u w:val="single"/>
                  <w:shd w:val="clear" w:color="auto" w:fill="FFFFFF"/>
                  <w:lang w:eastAsia="en-GB"/>
                </w:rPr>
                <w:t>03 336 00 00</w:t>
              </w:r>
            </w:hyperlink>
          </w:p>
        </w:tc>
      </w:tr>
    </w:tbl>
    <w:p w14:paraId="3E59D5CC" w14:textId="77777777" w:rsidR="00677A69" w:rsidRDefault="00677A69" w:rsidP="00677A69">
      <w:pPr>
        <w:jc w:val="both"/>
        <w:rPr>
          <w:rFonts w:ascii="Calibri" w:eastAsia="Times New Roman" w:hAnsi="Calibri" w:cs="Calibri"/>
          <w:color w:val="000000"/>
          <w:sz w:val="22"/>
          <w:szCs w:val="22"/>
          <w:lang w:eastAsia="en-GB"/>
        </w:rPr>
      </w:pPr>
    </w:p>
    <w:p w14:paraId="4FCEE087" w14:textId="176BCD53" w:rsidR="00677A69" w:rsidRPr="00677A69" w:rsidRDefault="00677A69" w:rsidP="00677A69">
      <w:pPr>
        <w:jc w:val="both"/>
        <w:rPr>
          <w:rFonts w:ascii="Times New Roman" w:eastAsia="Times New Roman" w:hAnsi="Times New Roman" w:cs="Times New Roman"/>
          <w:lang w:eastAsia="en-GB"/>
        </w:rPr>
      </w:pPr>
      <w:r w:rsidRPr="00677A69">
        <w:rPr>
          <w:rFonts w:ascii="Calibri" w:eastAsia="Times New Roman" w:hAnsi="Calibri" w:cs="Calibri"/>
          <w:color w:val="000000"/>
          <w:sz w:val="22"/>
          <w:szCs w:val="22"/>
          <w:lang w:eastAsia="en-GB"/>
        </w:rPr>
        <w:t>Triple Living construit et développe des projets visionnaires ainsi que des quartiers résidentiels verdoyants et dynamiques à des emplacements uniques. Le promoteur immobilier mise résolument sur le design, la qualité et la durabilité. Il accorde une place centrale à la qualité de vie, en mettant particulièrement l’accent sur les espaces verts, l’implantation dans le quartier, la création d’espace et l’apport de lumière. Triple Living possède plus de 40 ans d’expérience et collabore exclusivement avec des architectes et des partenaires de renom. Chaque immeuble, chaque projet, est pensé dans le moindre détail. </w:t>
      </w:r>
    </w:p>
    <w:p w14:paraId="4E886E83" w14:textId="77777777" w:rsidR="00677A69" w:rsidRPr="00677A69" w:rsidRDefault="00677A69" w:rsidP="00677A69">
      <w:pPr>
        <w:rPr>
          <w:rFonts w:ascii="Times New Roman" w:eastAsia="Times New Roman" w:hAnsi="Times New Roman" w:cs="Times New Roman"/>
          <w:lang w:eastAsia="en-GB"/>
        </w:rPr>
      </w:pPr>
    </w:p>
    <w:p w14:paraId="63047EC4" w14:textId="77777777" w:rsidR="00677A69" w:rsidRPr="00677A69" w:rsidRDefault="00677A69" w:rsidP="00677A69">
      <w:pPr>
        <w:jc w:val="both"/>
        <w:rPr>
          <w:rFonts w:ascii="Times New Roman" w:eastAsia="Times New Roman" w:hAnsi="Times New Roman" w:cs="Times New Roman"/>
          <w:lang w:eastAsia="en-GB"/>
        </w:rPr>
      </w:pPr>
      <w:r w:rsidRPr="00677A69">
        <w:rPr>
          <w:rFonts w:ascii="Calibri" w:eastAsia="Times New Roman" w:hAnsi="Calibri" w:cs="Calibri"/>
          <w:color w:val="000000"/>
          <w:sz w:val="22"/>
          <w:szCs w:val="22"/>
          <w:lang w:eastAsia="en-GB"/>
        </w:rPr>
        <w:t xml:space="preserve">Triple Living participe, en parallèle, au projet </w:t>
      </w:r>
      <w:r w:rsidRPr="00677A69">
        <w:rPr>
          <w:rFonts w:ascii="Calibri" w:eastAsia="Times New Roman" w:hAnsi="Calibri" w:cs="Calibri"/>
          <w:b/>
          <w:bCs/>
          <w:color w:val="000000"/>
          <w:sz w:val="22"/>
          <w:szCs w:val="22"/>
          <w:lang w:eastAsia="en-GB"/>
        </w:rPr>
        <w:t>Nieuw Zuid</w:t>
      </w:r>
      <w:r w:rsidRPr="00677A69">
        <w:rPr>
          <w:rFonts w:ascii="Calibri" w:eastAsia="Times New Roman" w:hAnsi="Calibri" w:cs="Calibri"/>
          <w:color w:val="000000"/>
          <w:sz w:val="22"/>
          <w:szCs w:val="22"/>
          <w:lang w:eastAsia="en-GB"/>
        </w:rPr>
        <w:t>, un nouveau quartier urbain vert et durable à Anvers. Le promoteur y investit massivement dans l’écologie et la durabilité : réseau de chaleur dédié, panneaux photovoltaïques et bassins d’infiltration. Tous les bâtiments satisfont largement à la norme en matière d’énergie passive. Le projet prévoit, en outre, un grand parc central, des sentiers pédestres et de généreux espaces verts. Ce nouveau quartier dynamique disposera de toutes les commodités nécessaires : commerces, restaurants, bureaux, cabinets médicaux, écoles et services d’utilité publique. </w:t>
      </w:r>
    </w:p>
    <w:p w14:paraId="3E80039D" w14:textId="77777777" w:rsidR="00677A69" w:rsidRPr="00677A69" w:rsidRDefault="00677A69" w:rsidP="00677A69">
      <w:pPr>
        <w:rPr>
          <w:rFonts w:ascii="Times New Roman" w:eastAsia="Times New Roman" w:hAnsi="Times New Roman" w:cs="Times New Roman"/>
          <w:lang w:eastAsia="en-GB"/>
        </w:rPr>
      </w:pPr>
    </w:p>
    <w:p w14:paraId="501772C7" w14:textId="77777777" w:rsidR="00677A69" w:rsidRPr="00677A69" w:rsidRDefault="00677A69" w:rsidP="00677A69">
      <w:pPr>
        <w:jc w:val="both"/>
        <w:rPr>
          <w:rFonts w:ascii="Times New Roman" w:eastAsia="Times New Roman" w:hAnsi="Times New Roman" w:cs="Times New Roman"/>
          <w:lang w:eastAsia="en-GB"/>
        </w:rPr>
      </w:pPr>
      <w:r w:rsidRPr="00677A69">
        <w:rPr>
          <w:rFonts w:ascii="Calibri" w:eastAsia="Times New Roman" w:hAnsi="Calibri" w:cs="Calibri"/>
          <w:color w:val="000000"/>
          <w:sz w:val="22"/>
          <w:szCs w:val="22"/>
          <w:lang w:eastAsia="en-GB"/>
        </w:rPr>
        <w:t>Autres projets de référence</w:t>
      </w:r>
    </w:p>
    <w:p w14:paraId="2E9B26D8" w14:textId="77777777" w:rsidR="00677A69" w:rsidRPr="00677A69" w:rsidRDefault="00677A69" w:rsidP="00677A69">
      <w:pPr>
        <w:numPr>
          <w:ilvl w:val="0"/>
          <w:numId w:val="1"/>
        </w:numPr>
        <w:jc w:val="both"/>
        <w:textAlignment w:val="baseline"/>
        <w:rPr>
          <w:rFonts w:ascii="Calibri" w:eastAsia="Times New Roman" w:hAnsi="Calibri" w:cs="Calibri"/>
          <w:color w:val="000000"/>
          <w:sz w:val="22"/>
          <w:szCs w:val="22"/>
          <w:lang w:eastAsia="en-GB"/>
        </w:rPr>
      </w:pPr>
      <w:r w:rsidRPr="00677A69">
        <w:rPr>
          <w:rFonts w:ascii="Calibri" w:eastAsia="Times New Roman" w:hAnsi="Calibri" w:cs="Calibri"/>
          <w:b/>
          <w:bCs/>
          <w:color w:val="000000"/>
          <w:sz w:val="22"/>
          <w:szCs w:val="22"/>
          <w:lang w:eastAsia="en-GB"/>
        </w:rPr>
        <w:t>Duinenwater, Knokke </w:t>
      </w:r>
      <w:r w:rsidRPr="00677A69">
        <w:rPr>
          <w:rFonts w:ascii="Calibri" w:eastAsia="Times New Roman" w:hAnsi="Calibri" w:cs="Calibri"/>
          <w:color w:val="000000"/>
          <w:sz w:val="22"/>
          <w:szCs w:val="22"/>
          <w:lang w:eastAsia="en-GB"/>
        </w:rPr>
        <w:t>: complexe résidentiel de 500 appartements sur les rives du lac de Duinenwater</w:t>
      </w:r>
    </w:p>
    <w:p w14:paraId="112DEB30" w14:textId="77777777" w:rsidR="00677A69" w:rsidRPr="00677A69" w:rsidRDefault="00677A69" w:rsidP="00677A69">
      <w:pPr>
        <w:numPr>
          <w:ilvl w:val="0"/>
          <w:numId w:val="1"/>
        </w:numPr>
        <w:jc w:val="both"/>
        <w:textAlignment w:val="baseline"/>
        <w:rPr>
          <w:rFonts w:ascii="Calibri" w:eastAsia="Times New Roman" w:hAnsi="Calibri" w:cs="Calibri"/>
          <w:color w:val="000000"/>
          <w:sz w:val="22"/>
          <w:szCs w:val="22"/>
          <w:lang w:eastAsia="en-GB"/>
        </w:rPr>
      </w:pPr>
      <w:r w:rsidRPr="00677A69">
        <w:rPr>
          <w:rFonts w:ascii="Calibri" w:eastAsia="Times New Roman" w:hAnsi="Calibri" w:cs="Calibri"/>
          <w:b/>
          <w:bCs/>
          <w:color w:val="000000"/>
          <w:sz w:val="22"/>
          <w:szCs w:val="22"/>
          <w:lang w:eastAsia="en-GB"/>
        </w:rPr>
        <w:t>Heuveldal, Tongres </w:t>
      </w:r>
      <w:r w:rsidRPr="00677A69">
        <w:rPr>
          <w:rFonts w:ascii="Calibri" w:eastAsia="Times New Roman" w:hAnsi="Calibri" w:cs="Calibri"/>
          <w:color w:val="000000"/>
          <w:sz w:val="22"/>
          <w:szCs w:val="22"/>
          <w:lang w:eastAsia="en-GB"/>
        </w:rPr>
        <w:t>: 230 logements destinés aux jeunes couples, aux familles et aux seniors</w:t>
      </w:r>
    </w:p>
    <w:p w14:paraId="29A44530" w14:textId="77777777" w:rsidR="00677A69" w:rsidRPr="00677A69" w:rsidRDefault="00677A69" w:rsidP="00677A69">
      <w:pPr>
        <w:numPr>
          <w:ilvl w:val="0"/>
          <w:numId w:val="1"/>
        </w:numPr>
        <w:jc w:val="both"/>
        <w:textAlignment w:val="baseline"/>
        <w:rPr>
          <w:rFonts w:ascii="Calibri" w:eastAsia="Times New Roman" w:hAnsi="Calibri" w:cs="Calibri"/>
          <w:color w:val="000000"/>
          <w:sz w:val="22"/>
          <w:szCs w:val="22"/>
          <w:lang w:eastAsia="en-GB"/>
        </w:rPr>
      </w:pPr>
      <w:r w:rsidRPr="00677A69">
        <w:rPr>
          <w:rFonts w:ascii="Calibri" w:eastAsia="Times New Roman" w:hAnsi="Calibri" w:cs="Calibri"/>
          <w:b/>
          <w:bCs/>
          <w:color w:val="000000"/>
          <w:sz w:val="22"/>
          <w:szCs w:val="22"/>
          <w:lang w:eastAsia="en-GB"/>
        </w:rPr>
        <w:t>Euro Village, Bruxelles </w:t>
      </w:r>
      <w:r w:rsidRPr="00677A69">
        <w:rPr>
          <w:rFonts w:ascii="Calibri" w:eastAsia="Times New Roman" w:hAnsi="Calibri" w:cs="Calibri"/>
          <w:color w:val="000000"/>
          <w:sz w:val="22"/>
          <w:szCs w:val="22"/>
          <w:lang w:eastAsia="en-GB"/>
        </w:rPr>
        <w:t>: 350 appartements autour de l’esplanade du Parlement européen</w:t>
      </w:r>
    </w:p>
    <w:p w14:paraId="1DFF177C" w14:textId="77777777" w:rsidR="00677A69" w:rsidRPr="00677A69" w:rsidRDefault="00677A69" w:rsidP="00677A69">
      <w:pPr>
        <w:numPr>
          <w:ilvl w:val="0"/>
          <w:numId w:val="1"/>
        </w:numPr>
        <w:jc w:val="both"/>
        <w:textAlignment w:val="baseline"/>
        <w:rPr>
          <w:rFonts w:ascii="Calibri" w:eastAsia="Times New Roman" w:hAnsi="Calibri" w:cs="Calibri"/>
          <w:color w:val="000000"/>
          <w:sz w:val="22"/>
          <w:szCs w:val="22"/>
          <w:lang w:eastAsia="en-GB"/>
        </w:rPr>
      </w:pPr>
      <w:r w:rsidRPr="00677A69">
        <w:rPr>
          <w:rFonts w:ascii="Calibri" w:eastAsia="Times New Roman" w:hAnsi="Calibri" w:cs="Calibri"/>
          <w:b/>
          <w:bCs/>
          <w:color w:val="000000"/>
          <w:sz w:val="22"/>
          <w:szCs w:val="22"/>
          <w:lang w:eastAsia="en-GB"/>
        </w:rPr>
        <w:t>Geneva Park, Evere </w:t>
      </w:r>
      <w:r w:rsidRPr="00677A69">
        <w:rPr>
          <w:rFonts w:ascii="Calibri" w:eastAsia="Times New Roman" w:hAnsi="Calibri" w:cs="Calibri"/>
          <w:color w:val="000000"/>
          <w:sz w:val="22"/>
          <w:szCs w:val="22"/>
          <w:lang w:eastAsia="en-GB"/>
        </w:rPr>
        <w:t>: 356 appartements destinés aux expatriés, avec un grand jardin central</w:t>
      </w:r>
    </w:p>
    <w:p w14:paraId="70CAF3C8" w14:textId="77777777" w:rsidR="00677A69" w:rsidRDefault="00677A69"/>
    <w:sectPr w:rsidR="00677A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E29E2"/>
    <w:multiLevelType w:val="multilevel"/>
    <w:tmpl w:val="E590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410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69"/>
    <w:rsid w:val="00677A6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9968C7D"/>
  <w15:chartTrackingRefBased/>
  <w15:docId w15:val="{74434D7B-6607-3048-94BD-75E697E1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7A6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77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5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triple+living&amp;oq=triple+living&amp;aqs=chrome..69i57j69i59j0l3j69i60l2j69i61.2079j0j4&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ziggy@brumsmith.com</dc:creator>
  <cp:keywords/>
  <dc:description/>
  <cp:lastModifiedBy>ziggy@brumsmith.com</cp:lastModifiedBy>
  <cp:revision>1</cp:revision>
  <dcterms:created xsi:type="dcterms:W3CDTF">2023-01-12T09:15:00Z</dcterms:created>
  <dcterms:modified xsi:type="dcterms:W3CDTF">2023-01-12T09:18:00Z</dcterms:modified>
</cp:coreProperties>
</file>